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40" w:rsidRPr="001940CB" w:rsidRDefault="001940CB">
      <w:pPr>
        <w:snapToGrid w:val="0"/>
        <w:spacing w:line="600" w:lineRule="exact"/>
        <w:jc w:val="left"/>
        <w:rPr>
          <w:rFonts w:ascii="黑体" w:eastAsia="黑体" w:hAnsi="黑体" w:cs="方正小标宋简体"/>
          <w:bCs/>
          <w:sz w:val="32"/>
          <w:szCs w:val="32"/>
        </w:rPr>
      </w:pPr>
      <w:r w:rsidRPr="001940CB">
        <w:rPr>
          <w:rFonts w:ascii="黑体" w:eastAsia="黑体" w:hAnsi="黑体" w:cs="方正小标宋简体" w:hint="eastAsia"/>
          <w:bCs/>
          <w:sz w:val="32"/>
          <w:szCs w:val="32"/>
        </w:rPr>
        <w:t>附件7</w:t>
      </w:r>
    </w:p>
    <w:p w:rsidR="00206040" w:rsidRDefault="00206040">
      <w:pPr>
        <w:spacing w:line="560" w:lineRule="exact"/>
        <w:jc w:val="center"/>
        <w:rPr>
          <w:b/>
          <w:sz w:val="40"/>
          <w:szCs w:val="44"/>
        </w:rPr>
      </w:pPr>
    </w:p>
    <w:p w:rsidR="00206040" w:rsidRPr="001940CB" w:rsidRDefault="001940CB">
      <w:pPr>
        <w:spacing w:line="560" w:lineRule="exact"/>
        <w:jc w:val="center"/>
        <w:rPr>
          <w:rFonts w:ascii="黑体" w:eastAsia="黑体" w:hAnsi="黑体"/>
          <w:sz w:val="44"/>
          <w:szCs w:val="44"/>
        </w:rPr>
      </w:pPr>
      <w:r w:rsidRPr="001940CB">
        <w:rPr>
          <w:rFonts w:ascii="黑体" w:eastAsia="黑体" w:hAnsi="黑体" w:hint="eastAsia"/>
          <w:sz w:val="44"/>
          <w:szCs w:val="44"/>
        </w:rPr>
        <w:t>易燃易爆等特定场所防雷装置设计事项</w:t>
      </w:r>
    </w:p>
    <w:p w:rsidR="00206040" w:rsidRPr="001940CB" w:rsidRDefault="001940CB">
      <w:pPr>
        <w:spacing w:line="560" w:lineRule="exact"/>
        <w:jc w:val="center"/>
        <w:rPr>
          <w:rFonts w:ascii="黑体" w:eastAsia="黑体" w:hAnsi="黑体"/>
          <w:sz w:val="44"/>
          <w:szCs w:val="44"/>
        </w:rPr>
      </w:pPr>
      <w:r w:rsidRPr="001940CB">
        <w:rPr>
          <w:rFonts w:ascii="黑体" w:eastAsia="黑体" w:hAnsi="黑体" w:hint="eastAsia"/>
          <w:sz w:val="44"/>
          <w:szCs w:val="44"/>
        </w:rPr>
        <w:t>承诺书</w:t>
      </w:r>
    </w:p>
    <w:p w:rsidR="00206040" w:rsidRDefault="001940CB">
      <w:pPr>
        <w:spacing w:line="560" w:lineRule="exact"/>
        <w:ind w:firstLineChars="1300" w:firstLine="4160"/>
        <w:rPr>
          <w:rFonts w:ascii="仿宋_GB2312" w:eastAsia="仿宋_GB2312"/>
          <w:sz w:val="32"/>
          <w:szCs w:val="32"/>
        </w:rPr>
      </w:pPr>
      <w:r>
        <w:rPr>
          <w:rFonts w:ascii="黑体" w:eastAsia="黑体" w:hAnsi="黑体" w:cs="黑体" w:hint="eastAsia"/>
          <w:sz w:val="32"/>
          <w:szCs w:val="32"/>
        </w:rPr>
        <w:t>编号：</w:t>
      </w:r>
      <w:r>
        <w:rPr>
          <w:rFonts w:ascii="黑体" w:eastAsia="黑体" w:hAnsi="黑体" w:cs="黑体" w:hint="eastAsia"/>
          <w:sz w:val="32"/>
          <w:szCs w:val="32"/>
          <w:u w:val="single"/>
        </w:rPr>
        <w:t xml:space="preserve">20    </w:t>
      </w:r>
      <w:r>
        <w:rPr>
          <w:rFonts w:ascii="黑体" w:eastAsia="黑体" w:hAnsi="黑体" w:cs="黑体" w:hint="eastAsia"/>
          <w:sz w:val="32"/>
          <w:szCs w:val="32"/>
        </w:rPr>
        <w:t>年第</w:t>
      </w:r>
      <w:r>
        <w:rPr>
          <w:rFonts w:ascii="黑体" w:eastAsia="黑体" w:hAnsi="黑体" w:cs="黑体" w:hint="eastAsia"/>
          <w:sz w:val="32"/>
          <w:szCs w:val="32"/>
          <w:u w:val="single"/>
        </w:rPr>
        <w:t xml:space="preserve">    </w:t>
      </w:r>
      <w:r>
        <w:rPr>
          <w:rFonts w:ascii="黑体" w:eastAsia="黑体" w:hAnsi="黑体" w:cs="黑体" w:hint="eastAsia"/>
          <w:sz w:val="32"/>
          <w:szCs w:val="32"/>
        </w:rPr>
        <w:t>号</w:t>
      </w:r>
    </w:p>
    <w:p w:rsidR="00206040" w:rsidRDefault="001940CB">
      <w:pPr>
        <w:snapToGrid w:val="0"/>
        <w:spacing w:line="580" w:lineRule="exact"/>
        <w:rPr>
          <w:rFonts w:ascii="仿宋_GB2312" w:eastAsia="仿宋_GB2312" w:hAnsi="仿宋_GB2312" w:cs="仿宋_GB2312"/>
          <w:sz w:val="32"/>
        </w:rPr>
      </w:pPr>
      <w:r>
        <w:rPr>
          <w:rFonts w:ascii="仿宋_GB2312" w:eastAsia="仿宋_GB2312" w:hAnsi="仿宋_GB2312" w:cs="仿宋_GB2312" w:hint="eastAsia"/>
          <w:sz w:val="32"/>
          <w:szCs w:val="22"/>
        </w:rPr>
        <w:t>临汾</w:t>
      </w:r>
      <w:r>
        <w:rPr>
          <w:rFonts w:ascii="仿宋_GB2312" w:eastAsia="仿宋_GB2312" w:hAnsi="仿宋_GB2312" w:cs="仿宋_GB2312" w:hint="eastAsia"/>
          <w:sz w:val="32"/>
        </w:rPr>
        <w:t>市行政审批服务管理局：</w:t>
      </w:r>
    </w:p>
    <w:p w:rsidR="00206040" w:rsidRDefault="001940CB">
      <w:pPr>
        <w:spacing w:line="560" w:lineRule="exact"/>
        <w:ind w:firstLineChars="202" w:firstLine="646"/>
        <w:rPr>
          <w:rFonts w:ascii="仿宋_GB2312" w:eastAsia="仿宋_GB2312"/>
          <w:sz w:val="32"/>
          <w:szCs w:val="32"/>
        </w:rPr>
      </w:pPr>
      <w:r>
        <w:rPr>
          <w:rFonts w:ascii="仿宋_GB2312" w:eastAsia="仿宋_GB2312" w:hint="eastAsia"/>
          <w:sz w:val="32"/>
          <w:szCs w:val="32"/>
        </w:rPr>
        <w:t>本单</w:t>
      </w:r>
      <w:proofErr w:type="gramStart"/>
      <w:r>
        <w:rPr>
          <w:rFonts w:ascii="仿宋_GB2312" w:eastAsia="仿宋_GB2312" w:hint="eastAsia"/>
          <w:sz w:val="32"/>
          <w:szCs w:val="32"/>
        </w:rPr>
        <w:t>位拟</w:t>
      </w:r>
      <w:proofErr w:type="gramEnd"/>
      <w:r>
        <w:rPr>
          <w:rFonts w:ascii="仿宋_GB2312" w:eastAsia="仿宋_GB2312" w:hint="eastAsia"/>
          <w:sz w:val="32"/>
          <w:szCs w:val="32"/>
        </w:rPr>
        <w:t>（新建、改建、扩建）项目，由于该项目涉及气象法律法规及雷电防护的要求，防雷装置设计事项承诺如下：</w:t>
      </w:r>
    </w:p>
    <w:p w:rsidR="00206040" w:rsidRDefault="001940CB">
      <w:pPr>
        <w:spacing w:line="560" w:lineRule="exact"/>
        <w:ind w:firstLineChars="202" w:firstLine="646"/>
        <w:rPr>
          <w:rFonts w:ascii="仿宋_GB2312" w:eastAsia="仿宋_GB2312"/>
          <w:sz w:val="32"/>
          <w:szCs w:val="32"/>
        </w:rPr>
      </w:pPr>
      <w:r>
        <w:rPr>
          <w:rFonts w:ascii="仿宋_GB2312" w:eastAsia="仿宋_GB2312" w:hint="eastAsia"/>
          <w:sz w:val="32"/>
          <w:szCs w:val="32"/>
        </w:rPr>
        <w:t>1</w:t>
      </w:r>
      <w:r w:rsidR="00C96A31">
        <w:rPr>
          <w:rFonts w:ascii="仿宋_GB2312" w:eastAsia="仿宋_GB2312" w:hint="eastAsia"/>
          <w:sz w:val="32"/>
          <w:szCs w:val="32"/>
        </w:rPr>
        <w:t>.</w:t>
      </w:r>
      <w:r>
        <w:rPr>
          <w:rFonts w:ascii="仿宋_GB2312" w:eastAsia="仿宋_GB2312" w:hint="eastAsia"/>
          <w:sz w:val="32"/>
          <w:szCs w:val="32"/>
        </w:rPr>
        <w:t>严格按照下列现行国家相关防</w:t>
      </w:r>
      <w:proofErr w:type="gramStart"/>
      <w:r>
        <w:rPr>
          <w:rFonts w:ascii="仿宋_GB2312" w:eastAsia="仿宋_GB2312" w:hint="eastAsia"/>
          <w:sz w:val="32"/>
          <w:szCs w:val="32"/>
        </w:rPr>
        <w:t>雷技术</w:t>
      </w:r>
      <w:proofErr w:type="gramEnd"/>
      <w:r>
        <w:rPr>
          <w:rFonts w:ascii="仿宋_GB2312" w:eastAsia="仿宋_GB2312" w:hint="eastAsia"/>
          <w:sz w:val="32"/>
          <w:szCs w:val="32"/>
        </w:rPr>
        <w:t>标准进行设计，编制符合要求的防雷设计文件，无违反国家相关防</w:t>
      </w:r>
      <w:proofErr w:type="gramStart"/>
      <w:r>
        <w:rPr>
          <w:rFonts w:ascii="仿宋_GB2312" w:eastAsia="仿宋_GB2312" w:hint="eastAsia"/>
          <w:sz w:val="32"/>
          <w:szCs w:val="32"/>
        </w:rPr>
        <w:t>雷技术</w:t>
      </w:r>
      <w:proofErr w:type="gramEnd"/>
      <w:r>
        <w:rPr>
          <w:rFonts w:ascii="仿宋_GB2312" w:eastAsia="仿宋_GB2312" w:hint="eastAsia"/>
          <w:sz w:val="32"/>
          <w:szCs w:val="32"/>
        </w:rPr>
        <w:t>标准的情况：</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(1)GB50057-2010《建筑物防雷设计规范》</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(2)GB50058-2014《爆炸危险环境电力装置设计规范》</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(3)GB 50074-2014《石油库设计规范》</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(4)GB50650-2011《石油化工防雷装置设计规范》</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(5)GB/T 21431-2015《建筑物防雷装置检测技术规范》</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(6)GB50156-2012（2014修订）《汽车加油加气站设计与施工规范》</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(7)QX/T 110-2009《爆炸和火灾危险环境防雷装置检测技术规范》</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(8)QXT 160-2012《爆炸和火灾危险环境雷电防护安全评价技术规范》</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(9)QX/T 106-2009《防雷装置设计技术评价规范》</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lastRenderedPageBreak/>
        <w:t xml:space="preserve">    (10)QXT 105-2009《防雷装置施工质量监督与验收规范》</w:t>
      </w:r>
    </w:p>
    <w:p w:rsidR="00206040" w:rsidRDefault="001940CB">
      <w:pPr>
        <w:spacing w:line="560" w:lineRule="exact"/>
        <w:ind w:firstLineChars="202" w:firstLine="646"/>
        <w:rPr>
          <w:rFonts w:ascii="仿宋_GB2312" w:eastAsia="仿宋_GB2312"/>
          <w:sz w:val="32"/>
          <w:szCs w:val="32"/>
        </w:rPr>
      </w:pPr>
      <w:r>
        <w:rPr>
          <w:rFonts w:ascii="仿宋_GB2312" w:eastAsia="仿宋_GB2312" w:hint="eastAsia"/>
          <w:sz w:val="32"/>
          <w:szCs w:val="32"/>
        </w:rPr>
        <w:t>2</w:t>
      </w:r>
      <w:r w:rsidR="00C96A31">
        <w:rPr>
          <w:rFonts w:ascii="仿宋_GB2312" w:eastAsia="仿宋_GB2312" w:hint="eastAsia"/>
          <w:sz w:val="32"/>
          <w:szCs w:val="32"/>
        </w:rPr>
        <w:t>.</w:t>
      </w:r>
      <w:r>
        <w:rPr>
          <w:rFonts w:ascii="仿宋_GB2312" w:eastAsia="仿宋_GB2312" w:hint="eastAsia"/>
          <w:sz w:val="32"/>
          <w:szCs w:val="32"/>
        </w:rPr>
        <w:t>适用法律法规及国家防雷技术标准准确无误，无规避现行法律、法规的行为：</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(1)《中华人民共和国气象法》</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(2)《国务院对确需保留的行政审批项目设定行政许可的决定》（国务院412号令）</w:t>
      </w:r>
    </w:p>
    <w:p w:rsidR="00206040" w:rsidRDefault="001940CB">
      <w:pPr>
        <w:shd w:val="clear" w:color="auto" w:fill="FFFFFF"/>
        <w:spacing w:line="560" w:lineRule="exact"/>
        <w:jc w:val="left"/>
        <w:rPr>
          <w:rFonts w:ascii="仿宋_GB2312" w:eastAsia="仿宋_GB2312"/>
          <w:sz w:val="32"/>
          <w:szCs w:val="32"/>
        </w:rPr>
      </w:pPr>
      <w:r>
        <w:rPr>
          <w:rFonts w:ascii="仿宋_GB2312" w:eastAsia="仿宋_GB2312" w:hint="eastAsia"/>
          <w:sz w:val="32"/>
          <w:szCs w:val="32"/>
        </w:rPr>
        <w:t xml:space="preserve">    (3)《气象灾害防御条例》（国务院令第570号）</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(4)《山西省气象条例》</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(5)《山西省气象灾害防御条例》</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(6)《防雷装置设计审核和竣工验收规定》（中国气象局第21号令）</w:t>
      </w:r>
    </w:p>
    <w:p w:rsidR="00206040" w:rsidRDefault="001940CB">
      <w:pPr>
        <w:spacing w:line="560" w:lineRule="exact"/>
        <w:jc w:val="left"/>
        <w:rPr>
          <w:rFonts w:ascii="仿宋_GB2312" w:eastAsia="仿宋_GB2312" w:cs="宋体"/>
          <w:kern w:val="0"/>
          <w:sz w:val="32"/>
          <w:szCs w:val="32"/>
        </w:rPr>
      </w:pPr>
      <w:r>
        <w:rPr>
          <w:rFonts w:ascii="仿宋_GB2312" w:eastAsia="仿宋_GB2312" w:hint="eastAsia"/>
          <w:sz w:val="32"/>
          <w:szCs w:val="32"/>
        </w:rPr>
        <w:t xml:space="preserve">    (7)《防雷减灾管理办法（修订）》（中国气象局第24号令）</w:t>
      </w:r>
    </w:p>
    <w:p w:rsidR="00206040" w:rsidRDefault="001940CB">
      <w:pPr>
        <w:spacing w:line="560" w:lineRule="exact"/>
        <w:jc w:val="left"/>
        <w:rPr>
          <w:rFonts w:ascii="仿宋_GB2312" w:eastAsia="仿宋_GB2312"/>
          <w:sz w:val="32"/>
          <w:szCs w:val="32"/>
        </w:rPr>
      </w:pPr>
      <w:r>
        <w:rPr>
          <w:rFonts w:ascii="仿宋_GB2312" w:eastAsia="仿宋_GB2312" w:hAnsi="宋体" w:cs="宋体" w:hint="eastAsia"/>
          <w:kern w:val="0"/>
          <w:sz w:val="32"/>
          <w:szCs w:val="32"/>
        </w:rPr>
        <w:t xml:space="preserve">    (8)《雷电防护装置检测资质管理办法》（</w:t>
      </w:r>
      <w:r>
        <w:rPr>
          <w:rFonts w:ascii="仿宋_GB2312" w:eastAsia="仿宋_GB2312" w:hint="eastAsia"/>
          <w:sz w:val="32"/>
          <w:szCs w:val="32"/>
        </w:rPr>
        <w:t>中国气象局令第31号</w:t>
      </w:r>
      <w:r>
        <w:rPr>
          <w:rFonts w:ascii="仿宋_GB2312" w:eastAsia="仿宋_GB2312" w:hAnsi="宋体" w:cs="宋体" w:hint="eastAsia"/>
          <w:kern w:val="0"/>
          <w:sz w:val="32"/>
          <w:szCs w:val="32"/>
        </w:rPr>
        <w:t>）</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(9)《山西省防雷减灾管理办法》（山西省人民政府令第213号）</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(10)《国务院关于优化建设工程防雷许可的决定》（国发[2016]39号）</w:t>
      </w:r>
    </w:p>
    <w:p w:rsidR="00206040" w:rsidRDefault="001940CB">
      <w:pPr>
        <w:spacing w:line="560" w:lineRule="exact"/>
        <w:jc w:val="left"/>
        <w:rPr>
          <w:rFonts w:ascii="仿宋_GB2312" w:eastAsia="仿宋_GB2312"/>
          <w:sz w:val="32"/>
          <w:szCs w:val="32"/>
        </w:rPr>
      </w:pPr>
      <w:r>
        <w:rPr>
          <w:rFonts w:ascii="仿宋_GB2312" w:eastAsia="仿宋_GB2312" w:hint="eastAsia"/>
          <w:sz w:val="32"/>
          <w:szCs w:val="32"/>
        </w:rPr>
        <w:t xml:space="preserve">    (11)《中国气象局等11个部委关于贯彻落实国务院关于优化建设工程防雷许可的决定的通知》（气发〔2016〕79号）</w:t>
      </w:r>
    </w:p>
    <w:p w:rsidR="00206040" w:rsidRDefault="001940CB">
      <w:pPr>
        <w:spacing w:line="560" w:lineRule="exact"/>
        <w:ind w:firstLineChars="202" w:firstLine="646"/>
        <w:rPr>
          <w:rFonts w:ascii="仿宋_GB2312" w:eastAsia="仿宋_GB2312"/>
          <w:sz w:val="32"/>
          <w:szCs w:val="32"/>
        </w:rPr>
      </w:pPr>
      <w:r>
        <w:rPr>
          <w:rFonts w:ascii="仿宋_GB2312" w:eastAsia="仿宋_GB2312" w:hint="eastAsia"/>
          <w:sz w:val="32"/>
          <w:szCs w:val="32"/>
        </w:rPr>
        <w:t>3</w:t>
      </w:r>
      <w:r w:rsidR="00C96A31">
        <w:rPr>
          <w:rFonts w:ascii="仿宋_GB2312" w:eastAsia="仿宋_GB2312" w:hint="eastAsia"/>
          <w:sz w:val="32"/>
          <w:szCs w:val="32"/>
        </w:rPr>
        <w:t>.</w:t>
      </w:r>
      <w:r>
        <w:rPr>
          <w:rFonts w:ascii="仿宋_GB2312" w:eastAsia="仿宋_GB2312" w:hint="eastAsia"/>
          <w:sz w:val="32"/>
          <w:szCs w:val="32"/>
        </w:rPr>
        <w:t>开工前及时与气象部门联系，由气象部门对提供的相关防</w:t>
      </w:r>
      <w:proofErr w:type="gramStart"/>
      <w:r>
        <w:rPr>
          <w:rFonts w:ascii="仿宋_GB2312" w:eastAsia="仿宋_GB2312" w:hint="eastAsia"/>
          <w:sz w:val="32"/>
          <w:szCs w:val="32"/>
        </w:rPr>
        <w:t>雷设计</w:t>
      </w:r>
      <w:proofErr w:type="gramEnd"/>
      <w:r>
        <w:rPr>
          <w:rFonts w:ascii="仿宋_GB2312" w:eastAsia="仿宋_GB2312" w:hint="eastAsia"/>
          <w:sz w:val="32"/>
          <w:szCs w:val="32"/>
        </w:rPr>
        <w:t>文件进行审验备案。</w:t>
      </w:r>
    </w:p>
    <w:p w:rsidR="00206040" w:rsidRDefault="001940CB">
      <w:pPr>
        <w:spacing w:line="560" w:lineRule="exact"/>
        <w:ind w:firstLineChars="202" w:firstLine="649"/>
        <w:rPr>
          <w:rFonts w:ascii="仿宋_GB2312" w:eastAsia="仿宋_GB2312"/>
          <w:b/>
          <w:sz w:val="32"/>
          <w:szCs w:val="32"/>
        </w:rPr>
      </w:pPr>
      <w:r>
        <w:rPr>
          <w:rFonts w:ascii="仿宋_GB2312" w:eastAsia="仿宋_GB2312" w:hint="eastAsia"/>
          <w:b/>
          <w:sz w:val="32"/>
          <w:szCs w:val="32"/>
        </w:rPr>
        <w:lastRenderedPageBreak/>
        <w:t>如违反上述承诺的，本单位自愿承担以下法律责任：</w:t>
      </w:r>
    </w:p>
    <w:p w:rsidR="00206040" w:rsidRDefault="001940CB">
      <w:pPr>
        <w:spacing w:line="560" w:lineRule="exact"/>
        <w:ind w:firstLineChars="202" w:firstLine="646"/>
        <w:rPr>
          <w:rFonts w:ascii="仿宋_GB2312" w:eastAsia="仿宋_GB2312"/>
          <w:sz w:val="32"/>
          <w:szCs w:val="32"/>
        </w:rPr>
      </w:pPr>
      <w:r>
        <w:rPr>
          <w:rFonts w:ascii="仿宋_GB2312" w:eastAsia="仿宋_GB2312" w:hint="eastAsia"/>
          <w:sz w:val="32"/>
          <w:szCs w:val="32"/>
        </w:rPr>
        <w:t>1</w:t>
      </w:r>
      <w:r w:rsidR="00C96A31">
        <w:rPr>
          <w:rFonts w:ascii="仿宋_GB2312" w:eastAsia="仿宋_GB2312" w:hint="eastAsia"/>
          <w:sz w:val="32"/>
          <w:szCs w:val="32"/>
        </w:rPr>
        <w:t>.</w:t>
      </w:r>
      <w:r>
        <w:rPr>
          <w:rFonts w:ascii="仿宋_GB2312" w:eastAsia="仿宋_GB2312" w:hint="eastAsia"/>
          <w:sz w:val="32"/>
          <w:szCs w:val="32"/>
        </w:rPr>
        <w:t>对工程建设过程中建设、设计、施工、监理单位擅自改变防雷设计的，由此造成的责任损失由本单位自身承担；</w:t>
      </w:r>
    </w:p>
    <w:p w:rsidR="00206040" w:rsidRDefault="001940CB">
      <w:pPr>
        <w:spacing w:line="560" w:lineRule="exact"/>
        <w:ind w:firstLineChars="202" w:firstLine="646"/>
        <w:rPr>
          <w:rFonts w:ascii="仿宋_GB2312" w:eastAsia="仿宋_GB2312"/>
          <w:sz w:val="32"/>
          <w:szCs w:val="32"/>
        </w:rPr>
      </w:pPr>
      <w:r>
        <w:rPr>
          <w:rFonts w:ascii="仿宋_GB2312" w:eastAsia="仿宋_GB2312" w:hint="eastAsia"/>
          <w:sz w:val="32"/>
          <w:szCs w:val="32"/>
        </w:rPr>
        <w:t>2</w:t>
      </w:r>
      <w:r w:rsidR="00C96A31">
        <w:rPr>
          <w:rFonts w:ascii="仿宋_GB2312" w:eastAsia="仿宋_GB2312" w:hint="eastAsia"/>
          <w:sz w:val="32"/>
          <w:szCs w:val="32"/>
        </w:rPr>
        <w:t>.</w:t>
      </w:r>
      <w:bookmarkStart w:id="0" w:name="_GoBack"/>
      <w:bookmarkEnd w:id="0"/>
      <w:r>
        <w:rPr>
          <w:rFonts w:ascii="仿宋_GB2312" w:eastAsia="仿宋_GB2312" w:hint="eastAsia"/>
          <w:sz w:val="32"/>
          <w:szCs w:val="32"/>
        </w:rPr>
        <w:t>自觉接受气象部门的监督，对于防雷设计中发现的问题及时整改，否则由此造成的损失及引发的雷灾事故由本单位自身承担。</w:t>
      </w:r>
    </w:p>
    <w:p w:rsidR="00206040" w:rsidRDefault="001940CB">
      <w:pPr>
        <w:spacing w:line="560" w:lineRule="exact"/>
        <w:ind w:firstLineChars="202" w:firstLine="646"/>
        <w:rPr>
          <w:rFonts w:ascii="仿宋_GB2312" w:eastAsia="仿宋_GB2312"/>
          <w:sz w:val="32"/>
          <w:szCs w:val="32"/>
        </w:rPr>
      </w:pPr>
      <w:r>
        <w:rPr>
          <w:rFonts w:ascii="仿宋_GB2312" w:eastAsia="仿宋_GB2312" w:hint="eastAsia"/>
          <w:sz w:val="32"/>
          <w:szCs w:val="32"/>
        </w:rPr>
        <w:t>承     诺    方：(公章)</w:t>
      </w:r>
    </w:p>
    <w:p w:rsidR="00206040" w:rsidRDefault="001940CB">
      <w:pPr>
        <w:spacing w:line="560" w:lineRule="exact"/>
        <w:ind w:firstLineChars="202" w:firstLine="646"/>
        <w:rPr>
          <w:rFonts w:ascii="仿宋_GB2312" w:eastAsia="仿宋_GB2312"/>
          <w:sz w:val="32"/>
          <w:szCs w:val="32"/>
        </w:rPr>
      </w:pPr>
      <w:r>
        <w:rPr>
          <w:rFonts w:ascii="仿宋_GB2312" w:eastAsia="仿宋_GB2312" w:hint="eastAsia"/>
          <w:sz w:val="32"/>
          <w:szCs w:val="32"/>
        </w:rPr>
        <w:t>法定代表人签字：</w:t>
      </w:r>
    </w:p>
    <w:p w:rsidR="00206040" w:rsidRDefault="001940CB">
      <w:pPr>
        <w:spacing w:line="560" w:lineRule="exact"/>
        <w:ind w:firstLineChars="202" w:firstLine="646"/>
        <w:rPr>
          <w:rFonts w:ascii="仿宋_GB2312" w:eastAsia="仿宋_GB2312"/>
          <w:sz w:val="32"/>
          <w:szCs w:val="32"/>
        </w:rPr>
      </w:pPr>
      <w:r>
        <w:rPr>
          <w:rFonts w:ascii="仿宋_GB2312" w:eastAsia="仿宋_GB2312" w:hint="eastAsia"/>
          <w:sz w:val="32"/>
          <w:szCs w:val="32"/>
        </w:rPr>
        <w:t>联  系  电  话：</w:t>
      </w:r>
    </w:p>
    <w:p w:rsidR="00206040" w:rsidRDefault="001940CB">
      <w:pPr>
        <w:spacing w:line="560" w:lineRule="exact"/>
        <w:ind w:firstLineChars="302" w:firstLine="966"/>
        <w:jc w:val="right"/>
        <w:rPr>
          <w:rFonts w:ascii="仿宋_GB2312" w:eastAsia="仿宋_GB2312" w:hAnsi="Times New Roman"/>
          <w:sz w:val="32"/>
          <w:szCs w:val="32"/>
        </w:rPr>
      </w:pPr>
      <w:r>
        <w:rPr>
          <w:rFonts w:ascii="仿宋_GB2312" w:eastAsia="仿宋_GB2312" w:hint="eastAsia"/>
          <w:sz w:val="32"/>
          <w:szCs w:val="32"/>
        </w:rPr>
        <w:t>年    月   日</w:t>
      </w:r>
    </w:p>
    <w:p w:rsidR="00206040" w:rsidRDefault="00206040">
      <w:pPr>
        <w:jc w:val="center"/>
      </w:pPr>
    </w:p>
    <w:p w:rsidR="00206040" w:rsidRDefault="00206040"/>
    <w:sectPr w:rsidR="002060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5A"/>
    <w:rsid w:val="001940CB"/>
    <w:rsid w:val="00206040"/>
    <w:rsid w:val="0047715A"/>
    <w:rsid w:val="00C96A31"/>
    <w:rsid w:val="00DE18F4"/>
    <w:rsid w:val="00FC2635"/>
    <w:rsid w:val="2D285A1F"/>
    <w:rsid w:val="4240436D"/>
    <w:rsid w:val="7E8B1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郭原原</dc:creator>
  <cp:lastModifiedBy>Administrator</cp:lastModifiedBy>
  <cp:revision>5</cp:revision>
  <dcterms:created xsi:type="dcterms:W3CDTF">2018-11-15T03:18:00Z</dcterms:created>
  <dcterms:modified xsi:type="dcterms:W3CDTF">2020-09-24T02:16:00Z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